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3FF8D9C6" w:rsidR="00BA0699" w:rsidRDefault="00D85EEF">
      <w:pPr>
        <w:spacing w:after="0"/>
        <w:ind w:hanging="709"/>
        <w:jc w:val="center"/>
        <w:rPr>
          <w:b/>
        </w:rPr>
      </w:pPr>
      <w:r w:rsidRPr="00AF3857">
        <w:rPr>
          <w:b/>
        </w:rPr>
        <w:t xml:space="preserve">REFERENCIAS </w:t>
      </w:r>
    </w:p>
    <w:p w14:paraId="48C74C9C" w14:textId="77777777" w:rsidR="00F556A0" w:rsidRPr="00AF3857" w:rsidRDefault="00F556A0">
      <w:pPr>
        <w:spacing w:after="0"/>
        <w:ind w:hanging="709"/>
        <w:jc w:val="center"/>
        <w:rPr>
          <w:b/>
        </w:rPr>
      </w:pPr>
    </w:p>
    <w:p w14:paraId="00000006" w14:textId="77777777" w:rsidR="00BA0699" w:rsidRPr="00AF3857" w:rsidRDefault="00D85EEF">
      <w:pPr>
        <w:spacing w:after="0"/>
        <w:ind w:left="709" w:hanging="709"/>
        <w:jc w:val="both"/>
      </w:pPr>
      <w:r w:rsidRPr="00AF3857">
        <w:t xml:space="preserve">Cámara de Comercio de Bogotá. (2006). </w:t>
      </w:r>
      <w:r w:rsidRPr="00AF3857">
        <w:rPr>
          <w:i/>
        </w:rPr>
        <w:t xml:space="preserve">Laudo arbitral Bancolombia S.A. contra Jaime </w:t>
      </w:r>
      <w:proofErr w:type="spellStart"/>
      <w:r w:rsidRPr="00AF3857">
        <w:rPr>
          <w:i/>
        </w:rPr>
        <w:t>Gilinski</w:t>
      </w:r>
      <w:proofErr w:type="spellEnd"/>
      <w:r w:rsidRPr="00AF3857">
        <w:rPr>
          <w:i/>
        </w:rPr>
        <w:t xml:space="preserve"> Bacal</w:t>
      </w:r>
      <w:r w:rsidRPr="00AF3857">
        <w:t>. Recurso digital de la Cámara de Comercio de Bogotá.</w:t>
      </w:r>
    </w:p>
    <w:p w14:paraId="00000007" w14:textId="6A4490EC" w:rsidR="00BA0699" w:rsidRPr="00AF3857" w:rsidRDefault="00F556A0" w:rsidP="00AF3857">
      <w:pPr>
        <w:jc w:val="both"/>
        <w:rPr>
          <w:u w:val="single"/>
        </w:rPr>
      </w:pPr>
      <w:hyperlink r:id="rId4">
        <w:r w:rsidR="00D85EEF" w:rsidRPr="00AF3857">
          <w:rPr>
            <w:u w:val="single"/>
          </w:rPr>
          <w:t>https://bibliotecadigital.ccb.org.co/handle/11520/21699</w:t>
        </w:r>
      </w:hyperlink>
    </w:p>
    <w:p w14:paraId="6378A65E" w14:textId="0C113CF9" w:rsidR="00402752" w:rsidRPr="00AF3857" w:rsidRDefault="00402752" w:rsidP="00AF3857">
      <w:pPr>
        <w:ind w:left="720" w:hanging="720"/>
        <w:jc w:val="both"/>
      </w:pPr>
      <w:r w:rsidRPr="00AF3857">
        <w:t>Castro</w:t>
      </w:r>
      <w:r w:rsidR="00AF3857" w:rsidRPr="00AF3857">
        <w:t xml:space="preserve">, M et al. (2015). </w:t>
      </w:r>
      <w:r w:rsidRPr="00AF3857">
        <w:rPr>
          <w:i/>
        </w:rPr>
        <w:t>Modernización de las obligaciones y los contratos: seis estudio</w:t>
      </w:r>
      <w:r w:rsidR="00AF3857" w:rsidRPr="00AF3857">
        <w:rPr>
          <w:i/>
        </w:rPr>
        <w:t xml:space="preserve">s. </w:t>
      </w:r>
      <w:r w:rsidRPr="00AF3857">
        <w:t>Editorial Temis S.A.</w:t>
      </w:r>
    </w:p>
    <w:p w14:paraId="180336C4" w14:textId="77777777" w:rsidR="00AC75E7" w:rsidRPr="00AF3857" w:rsidRDefault="00AC75E7" w:rsidP="00AC75E7">
      <w:pPr>
        <w:spacing w:after="0"/>
        <w:ind w:firstLine="0"/>
        <w:jc w:val="both"/>
        <w:rPr>
          <w:i/>
        </w:rPr>
      </w:pPr>
      <w:proofErr w:type="spellStart"/>
      <w:r w:rsidRPr="00AF3857">
        <w:t>Chamie</w:t>
      </w:r>
      <w:proofErr w:type="spellEnd"/>
      <w:r w:rsidRPr="00AF3857">
        <w:t>, J.F. (2008</w:t>
      </w:r>
      <w:r w:rsidRPr="00AF3857">
        <w:rPr>
          <w:i/>
        </w:rPr>
        <w:t>). Equilibrio contractual y cooperación entre las partes: el deber</w:t>
      </w:r>
    </w:p>
    <w:p w14:paraId="4E58BDDE" w14:textId="0EA658CF" w:rsidR="00AC75E7" w:rsidRPr="00AF3857" w:rsidRDefault="00AC75E7" w:rsidP="00AC75E7">
      <w:pPr>
        <w:spacing w:after="0"/>
        <w:ind w:left="709" w:firstLine="0"/>
        <w:jc w:val="both"/>
      </w:pPr>
      <w:r w:rsidRPr="00AF3857">
        <w:rPr>
          <w:i/>
        </w:rPr>
        <w:t>de revisión del contrato.</w:t>
      </w:r>
      <w:r w:rsidRPr="00AF3857">
        <w:t xml:space="preserve"> Revista de Derecho Privado</w:t>
      </w:r>
      <w:r w:rsidR="00402752" w:rsidRPr="00AF3857">
        <w:t>.</w:t>
      </w:r>
      <w:r w:rsidRPr="00AF3857">
        <w:t xml:space="preserve"> </w:t>
      </w:r>
    </w:p>
    <w:p w14:paraId="77F1F2F9" w14:textId="5C22883F" w:rsidR="00AC75E7" w:rsidRPr="00AF3857" w:rsidRDefault="00AC75E7" w:rsidP="00AF3857">
      <w:pPr>
        <w:ind w:left="709" w:firstLine="0"/>
        <w:jc w:val="both"/>
        <w:rPr>
          <w:u w:val="single"/>
        </w:rPr>
      </w:pPr>
      <w:r w:rsidRPr="00AF3857">
        <w:rPr>
          <w:u w:val="single"/>
        </w:rPr>
        <w:t>http//heinonline.org</w:t>
      </w:r>
    </w:p>
    <w:p w14:paraId="00000009" w14:textId="77777777" w:rsidR="00BA0699" w:rsidRPr="00AF3857" w:rsidRDefault="00D85EEF" w:rsidP="00AF3857">
      <w:pPr>
        <w:ind w:left="709" w:hanging="709"/>
        <w:jc w:val="both"/>
      </w:pPr>
      <w:r w:rsidRPr="00AF3857">
        <w:t xml:space="preserve">Colombia. (2023). </w:t>
      </w:r>
      <w:r w:rsidRPr="00AF3857">
        <w:rPr>
          <w:i/>
        </w:rPr>
        <w:t>Constitución Política de Colombia</w:t>
      </w:r>
      <w:r w:rsidRPr="00AF3857">
        <w:t xml:space="preserve"> (49ª ed.). Editorial Legis.</w:t>
      </w:r>
    </w:p>
    <w:p w14:paraId="0000000A" w14:textId="77777777" w:rsidR="00BA0699" w:rsidRPr="00AF3857" w:rsidRDefault="00D85EEF" w:rsidP="00AF3857">
      <w:pPr>
        <w:ind w:left="709" w:hanging="709"/>
        <w:jc w:val="both"/>
      </w:pPr>
      <w:bookmarkStart w:id="0" w:name="_gjdgxs" w:colFirst="0" w:colLast="0"/>
      <w:bookmarkEnd w:id="0"/>
      <w:r w:rsidRPr="00AF3857">
        <w:t xml:space="preserve">Colombia. (2023). </w:t>
      </w:r>
      <w:r w:rsidRPr="00AF3857">
        <w:rPr>
          <w:i/>
        </w:rPr>
        <w:t>Código de Comercio</w:t>
      </w:r>
      <w:r w:rsidRPr="00AF3857">
        <w:t xml:space="preserve"> (49ª ed.). Editorial Legis. </w:t>
      </w:r>
    </w:p>
    <w:p w14:paraId="0000000B" w14:textId="77777777" w:rsidR="00BA0699" w:rsidRPr="00AF3857" w:rsidRDefault="00D85EEF" w:rsidP="00AF3857">
      <w:pPr>
        <w:ind w:left="709" w:hanging="709"/>
        <w:jc w:val="both"/>
      </w:pPr>
      <w:r w:rsidRPr="00AF3857">
        <w:t xml:space="preserve">Colombia. (2024). </w:t>
      </w:r>
      <w:r w:rsidRPr="00AF3857">
        <w:rPr>
          <w:i/>
        </w:rPr>
        <w:t>Código Civil</w:t>
      </w:r>
      <w:r w:rsidRPr="00AF3857">
        <w:t xml:space="preserve"> (51ª ed.). Editorial Legis. </w:t>
      </w:r>
    </w:p>
    <w:p w14:paraId="0000000D" w14:textId="1FD48F46" w:rsidR="00BA0699" w:rsidRPr="00AF3857" w:rsidRDefault="00D85EEF" w:rsidP="00AF3857">
      <w:pPr>
        <w:ind w:left="709" w:hanging="709"/>
        <w:jc w:val="both"/>
      </w:pPr>
      <w:r w:rsidRPr="00AF3857">
        <w:t xml:space="preserve">Colombia. (2023). </w:t>
      </w:r>
      <w:r w:rsidRPr="00AF3857">
        <w:rPr>
          <w:i/>
        </w:rPr>
        <w:t xml:space="preserve">Código </w:t>
      </w:r>
      <w:r w:rsidR="006C1AE1" w:rsidRPr="00AF3857">
        <w:rPr>
          <w:i/>
        </w:rPr>
        <w:t xml:space="preserve">General </w:t>
      </w:r>
      <w:r w:rsidRPr="00AF3857">
        <w:rPr>
          <w:i/>
        </w:rPr>
        <w:t>del Proceso</w:t>
      </w:r>
      <w:r w:rsidRPr="00AF3857">
        <w:t xml:space="preserve"> (14ª ed.). Editorial Legis.</w:t>
      </w:r>
    </w:p>
    <w:p w14:paraId="4244052E" w14:textId="77777777" w:rsidR="004671FC" w:rsidRPr="00AF3857" w:rsidRDefault="00C676C8" w:rsidP="00AF3857">
      <w:pPr>
        <w:ind w:left="709" w:hanging="709"/>
        <w:jc w:val="both"/>
      </w:pPr>
      <w:r w:rsidRPr="00AF3857">
        <w:t>GARRIGUES. (2021</w:t>
      </w:r>
      <w:r w:rsidRPr="00AF3857">
        <w:rPr>
          <w:i/>
        </w:rPr>
        <w:t xml:space="preserve">). Cláusulas de sandbagging y </w:t>
      </w:r>
      <w:proofErr w:type="spellStart"/>
      <w:r w:rsidRPr="00AF3857">
        <w:rPr>
          <w:i/>
        </w:rPr>
        <w:t>antisandbagging</w:t>
      </w:r>
      <w:proofErr w:type="spellEnd"/>
      <w:r w:rsidRPr="00AF3857">
        <w:rPr>
          <w:i/>
        </w:rPr>
        <w:t xml:space="preserve"> en operaciones de M&amp;A: ¿Cómo están reguladas en Latinoamérica?</w:t>
      </w:r>
      <w:r w:rsidRPr="00AF3857">
        <w:t xml:space="preserve"> </w:t>
      </w:r>
      <w:hyperlink r:id="rId5" w:history="1">
        <w:r w:rsidRPr="00AF3857">
          <w:rPr>
            <w:rStyle w:val="Hipervnculo"/>
            <w:color w:val="auto"/>
          </w:rPr>
          <w:t>https://www.garrigues.com/sites/default/files/documents/clausulas_de_sandbagging_y_antisandbagging_en_operaciones_de_ma_como_estan_reguladas_en_latinoamerica.pdf</w:t>
        </w:r>
      </w:hyperlink>
    </w:p>
    <w:p w14:paraId="45325B48" w14:textId="4718D5C2" w:rsidR="00C676C8" w:rsidRPr="00AF3857" w:rsidRDefault="00C676C8" w:rsidP="00AF3857">
      <w:pPr>
        <w:ind w:left="709" w:hanging="709"/>
        <w:jc w:val="both"/>
      </w:pPr>
      <w:r w:rsidRPr="00AF3857">
        <w:t>Hinestrosa, F. (2015</w:t>
      </w:r>
      <w:r w:rsidRPr="00AF3857">
        <w:rPr>
          <w:i/>
        </w:rPr>
        <w:t>). Tratado de las Obligaciones. De las fuentes de las</w:t>
      </w:r>
      <w:r w:rsidR="004671FC" w:rsidRPr="00AF3857">
        <w:t xml:space="preserve"> </w:t>
      </w:r>
      <w:r w:rsidRPr="00AF3857">
        <w:rPr>
          <w:i/>
        </w:rPr>
        <w:t>obligacion</w:t>
      </w:r>
      <w:r w:rsidR="004671FC" w:rsidRPr="00AF3857">
        <w:rPr>
          <w:i/>
        </w:rPr>
        <w:t>e</w:t>
      </w:r>
      <w:r w:rsidRPr="00AF3857">
        <w:rPr>
          <w:i/>
        </w:rPr>
        <w:t>s: el negocio jurídico</w:t>
      </w:r>
      <w:r w:rsidR="00D04D2D" w:rsidRPr="00AF3857">
        <w:rPr>
          <w:i/>
        </w:rPr>
        <w:t xml:space="preserve"> </w:t>
      </w:r>
      <w:r w:rsidR="00D04D2D" w:rsidRPr="00AF3857">
        <w:t>(</w:t>
      </w:r>
      <w:proofErr w:type="spellStart"/>
      <w:r w:rsidR="00D04D2D" w:rsidRPr="00AF3857">
        <w:t>Vol</w:t>
      </w:r>
      <w:proofErr w:type="spellEnd"/>
      <w:r w:rsidR="00D04D2D" w:rsidRPr="00AF3857">
        <w:t xml:space="preserve"> VII). </w:t>
      </w:r>
      <w:r w:rsidR="00AC75E7" w:rsidRPr="00AF3857">
        <w:t>Revista de Derecho Privado Universidad</w:t>
      </w:r>
      <w:r w:rsidR="004671FC" w:rsidRPr="00AF3857">
        <w:t xml:space="preserve"> </w:t>
      </w:r>
      <w:r w:rsidRPr="00AF3857">
        <w:t>Externado</w:t>
      </w:r>
      <w:r w:rsidR="00D04D2D" w:rsidRPr="00AF3857">
        <w:t xml:space="preserve"> </w:t>
      </w:r>
      <w:r w:rsidRPr="00AF3857">
        <w:t>de Colombia</w:t>
      </w:r>
      <w:r w:rsidR="00D04D2D" w:rsidRPr="00AF3857">
        <w:t>.</w:t>
      </w:r>
      <w:r w:rsidRPr="00AF3857">
        <w:t xml:space="preserve"> </w:t>
      </w:r>
    </w:p>
    <w:p w14:paraId="2FD9D6F1" w14:textId="3136251C" w:rsidR="00AC75E7" w:rsidRPr="00AF3857" w:rsidRDefault="00D04D2D" w:rsidP="00AC75E7">
      <w:pPr>
        <w:spacing w:after="0"/>
        <w:ind w:left="720" w:hanging="720"/>
        <w:jc w:val="both"/>
      </w:pPr>
      <w:r w:rsidRPr="00AF3857">
        <w:t xml:space="preserve">Hinestrosa, F. (2020). </w:t>
      </w:r>
      <w:r w:rsidRPr="00AF3857">
        <w:rPr>
          <w:i/>
        </w:rPr>
        <w:t>Teoría de la imprevisión</w:t>
      </w:r>
      <w:r w:rsidRPr="00AF3857">
        <w:t>. Revista de derecho Privado</w:t>
      </w:r>
      <w:r w:rsidR="00AC75E7" w:rsidRPr="00AF3857">
        <w:t xml:space="preserve"> Universidad Externado de Colombia. </w:t>
      </w:r>
    </w:p>
    <w:p w14:paraId="288EDAB2" w14:textId="0153FDD4" w:rsidR="00D04D2D" w:rsidRPr="00AF3857" w:rsidRDefault="00F556A0" w:rsidP="00AF3857">
      <w:pPr>
        <w:jc w:val="both"/>
      </w:pPr>
      <w:hyperlink r:id="rId6" w:history="1">
        <w:r w:rsidR="00AC75E7" w:rsidRPr="00AF3857">
          <w:rPr>
            <w:rStyle w:val="Hipervnculo"/>
            <w:color w:val="auto"/>
          </w:rPr>
          <w:t>https://doi.org/10.18601/01234366.n39.02</w:t>
        </w:r>
      </w:hyperlink>
      <w:r w:rsidR="00D04D2D" w:rsidRPr="00AF3857">
        <w:t>.</w:t>
      </w:r>
    </w:p>
    <w:p w14:paraId="4B143972" w14:textId="20D2D8B0" w:rsidR="00BA0699" w:rsidRPr="00AF3857" w:rsidRDefault="00D85EEF" w:rsidP="00F556A0">
      <w:pPr>
        <w:ind w:firstLine="0"/>
        <w:jc w:val="both"/>
      </w:pPr>
      <w:r w:rsidRPr="00AF3857">
        <w:t>Ley 1563 de 2012. (2012, 12 de julio). Congreso de la República. Diario oficial No. 48.483.</w:t>
      </w:r>
      <w:r w:rsidR="00AF3857">
        <w:br w:type="page"/>
      </w:r>
    </w:p>
    <w:p w14:paraId="6D017926" w14:textId="576BDC14" w:rsidR="00AF3857" w:rsidRPr="00AF3857" w:rsidRDefault="00AC75E7" w:rsidP="00402752">
      <w:pPr>
        <w:spacing w:after="0"/>
        <w:ind w:left="720" w:hanging="720"/>
        <w:jc w:val="both"/>
      </w:pPr>
      <w:r w:rsidRPr="00AF3857">
        <w:lastRenderedPageBreak/>
        <w:t xml:space="preserve">Ministerio de Justicia y del Derecho. (2023). </w:t>
      </w:r>
      <w:r w:rsidRPr="00AF3857">
        <w:rPr>
          <w:i/>
        </w:rPr>
        <w:t>Sentencia No. SU-2023.</w:t>
      </w:r>
      <w:r w:rsidRPr="00AF3857">
        <w:t xml:space="preserve"> </w:t>
      </w:r>
    </w:p>
    <w:p w14:paraId="0C83AC71" w14:textId="309ED449" w:rsidR="00AC75E7" w:rsidRPr="00AF3857" w:rsidRDefault="00F556A0" w:rsidP="002044F1">
      <w:pPr>
        <w:jc w:val="both"/>
      </w:pPr>
      <w:hyperlink r:id="rId7" w:history="1">
        <w:r w:rsidR="00AF3857" w:rsidRPr="00AF3857">
          <w:rPr>
            <w:rStyle w:val="Hipervnculo"/>
            <w:color w:val="auto"/>
          </w:rPr>
          <w:t>https://www.suin-juriscol.gov.co/viewDocument.asp?id=30030736</w:t>
        </w:r>
      </w:hyperlink>
    </w:p>
    <w:p w14:paraId="327B1D54" w14:textId="77777777" w:rsidR="00AC75E7" w:rsidRPr="00AF3857" w:rsidRDefault="00AC75E7" w:rsidP="00AC75E7">
      <w:pPr>
        <w:spacing w:after="0"/>
        <w:ind w:firstLine="0"/>
        <w:jc w:val="both"/>
        <w:rPr>
          <w:i/>
        </w:rPr>
      </w:pPr>
      <w:r w:rsidRPr="00AF3857">
        <w:t xml:space="preserve">Montoya, F. (2005). </w:t>
      </w:r>
      <w:r w:rsidRPr="00AF3857">
        <w:rPr>
          <w:i/>
        </w:rPr>
        <w:t>La imprevisión frente al dilema solidarismo-individualismo</w:t>
      </w:r>
    </w:p>
    <w:p w14:paraId="243B283F" w14:textId="4D557955" w:rsidR="00AC75E7" w:rsidRPr="00AF3857" w:rsidRDefault="00AC75E7" w:rsidP="002044F1">
      <w:pPr>
        <w:ind w:left="709" w:firstLine="0"/>
        <w:jc w:val="both"/>
      </w:pPr>
      <w:r w:rsidRPr="00AF3857">
        <w:rPr>
          <w:i/>
        </w:rPr>
        <w:t>contractual</w:t>
      </w:r>
      <w:r w:rsidRPr="00AF3857">
        <w:t>. Revista de Derecho Privado Universidad Externado de Colombia.</w:t>
      </w:r>
    </w:p>
    <w:p w14:paraId="631C8905" w14:textId="72CF27A7" w:rsidR="00402752" w:rsidRPr="00AF3857" w:rsidRDefault="00402752" w:rsidP="002044F1">
      <w:pPr>
        <w:ind w:left="720" w:hanging="720"/>
        <w:jc w:val="both"/>
      </w:pPr>
      <w:r w:rsidRPr="00AF3857">
        <w:t xml:space="preserve">Olano, H y Oviedo, J. (2006). </w:t>
      </w:r>
      <w:r w:rsidRPr="00AF3857">
        <w:rPr>
          <w:i/>
        </w:rPr>
        <w:t>Hacia una comprensión humana del derecho: estudios en homenaje a Roberto Suárez Franco</w:t>
      </w:r>
      <w:r w:rsidRPr="00AF3857">
        <w:t>. Editorial Temis S.A.</w:t>
      </w:r>
    </w:p>
    <w:p w14:paraId="46C9926C" w14:textId="77777777" w:rsidR="00402752" w:rsidRPr="00AF3857" w:rsidRDefault="00402752" w:rsidP="00402752">
      <w:pPr>
        <w:spacing w:after="0"/>
        <w:ind w:left="709" w:hanging="709"/>
        <w:jc w:val="both"/>
      </w:pPr>
      <w:proofErr w:type="spellStart"/>
      <w:r w:rsidRPr="00AF3857">
        <w:t>Polidura</w:t>
      </w:r>
      <w:proofErr w:type="spellEnd"/>
      <w:r w:rsidRPr="00AF3857">
        <w:t xml:space="preserve">, A. (2017). </w:t>
      </w:r>
      <w:r w:rsidRPr="00AF3857">
        <w:rPr>
          <w:i/>
        </w:rPr>
        <w:t>El restablecimiento de las condiciones contractuales frente al desequilibrio sobreviniente en el derecho privado colombiano</w:t>
      </w:r>
      <w:r w:rsidRPr="00AF3857">
        <w:t>. Revista de Derecho Privado Universidad de Los Andes.</w:t>
      </w:r>
    </w:p>
    <w:p w14:paraId="3E030C68" w14:textId="77777777" w:rsidR="00402752" w:rsidRPr="00AF3857" w:rsidRDefault="00402752" w:rsidP="002044F1">
      <w:pPr>
        <w:jc w:val="both"/>
        <w:rPr>
          <w:u w:val="single"/>
        </w:rPr>
      </w:pPr>
      <w:r w:rsidRPr="00AF3857">
        <w:rPr>
          <w:u w:val="single"/>
        </w:rPr>
        <w:t>https://www.redalyc.org/pdf/3600/360055996006.pdf</w:t>
      </w:r>
    </w:p>
    <w:p w14:paraId="10311A45" w14:textId="0F05BD87" w:rsidR="00402752" w:rsidRPr="00AF3857" w:rsidRDefault="00402752" w:rsidP="002044F1">
      <w:pPr>
        <w:ind w:left="709" w:hanging="709"/>
        <w:jc w:val="both"/>
      </w:pPr>
      <w:r w:rsidRPr="00AF3857">
        <w:t xml:space="preserve">Pontificia Universidad Javeriana. (2024). </w:t>
      </w:r>
      <w:r w:rsidRPr="00AF3857">
        <w:rPr>
          <w:i/>
        </w:rPr>
        <w:t xml:space="preserve">Caso </w:t>
      </w:r>
      <w:proofErr w:type="spellStart"/>
      <w:r w:rsidRPr="00AF3857">
        <w:rPr>
          <w:i/>
        </w:rPr>
        <w:t>hipotetico</w:t>
      </w:r>
      <w:proofErr w:type="spellEnd"/>
      <w:r w:rsidRPr="00AF3857">
        <w:rPr>
          <w:i/>
        </w:rPr>
        <w:t xml:space="preserve"> – </w:t>
      </w:r>
      <w:proofErr w:type="spellStart"/>
      <w:r w:rsidRPr="00AF3857">
        <w:rPr>
          <w:i/>
        </w:rPr>
        <w:t>Moot</w:t>
      </w:r>
      <w:proofErr w:type="spellEnd"/>
      <w:r w:rsidRPr="00AF3857">
        <w:rPr>
          <w:i/>
        </w:rPr>
        <w:t xml:space="preserve"> </w:t>
      </w:r>
      <w:proofErr w:type="spellStart"/>
      <w:r w:rsidRPr="00AF3857">
        <w:rPr>
          <w:i/>
        </w:rPr>
        <w:t>Court</w:t>
      </w:r>
      <w:proofErr w:type="spellEnd"/>
      <w:r w:rsidRPr="00AF3857">
        <w:rPr>
          <w:i/>
        </w:rPr>
        <w:t>. Documento de trabajo de la Maestría en Derecho empresarial.</w:t>
      </w:r>
      <w:r w:rsidRPr="00AF3857">
        <w:t xml:space="preserve"> [Documento inédito].</w:t>
      </w:r>
    </w:p>
    <w:p w14:paraId="75834024" w14:textId="56BF3491" w:rsidR="00AC75E7" w:rsidRPr="00AF3857" w:rsidRDefault="00AC75E7" w:rsidP="00AC75E7">
      <w:pPr>
        <w:ind w:left="709" w:hanging="709"/>
        <w:jc w:val="both"/>
        <w:rPr>
          <w:i/>
        </w:rPr>
      </w:pPr>
      <w:r w:rsidRPr="00AF3857">
        <w:t>Rama Judicial de Colombia</w:t>
      </w:r>
      <w:r w:rsidRPr="00AF3857">
        <w:rPr>
          <w:i/>
        </w:rPr>
        <w:t xml:space="preserve">. </w:t>
      </w:r>
      <w:r w:rsidRPr="00AF3857">
        <w:t>(2020).</w:t>
      </w:r>
      <w:r w:rsidRPr="00AF3857">
        <w:rPr>
          <w:i/>
        </w:rPr>
        <w:t xml:space="preserve"> Niega mandamiento de pago por falta de exigibilidad - Contrato No. 422 CGP - Virtual María (Referencia No. 2020-00113). </w:t>
      </w:r>
      <w:hyperlink r:id="rId8" w:history="1">
        <w:r w:rsidR="00AF3857" w:rsidRPr="00AF3857">
          <w:rPr>
            <w:rStyle w:val="Hipervnculo"/>
            <w:color w:val="auto"/>
          </w:rPr>
          <w:t>https://www.ramajudicial.gov.co/documents/36806623/46639438/202000113+NIEGA+MANDTO+FALTA+EXIGIBILIDAD+++CONTRATO+NO+422+CGP-+VIRTUAL-MARIA-.pdf</w:t>
        </w:r>
      </w:hyperlink>
    </w:p>
    <w:p w14:paraId="0000001A" w14:textId="0FE89F95" w:rsidR="00BA0699" w:rsidRPr="00AF3857" w:rsidRDefault="00D85EEF" w:rsidP="002044F1">
      <w:pPr>
        <w:ind w:left="709" w:hanging="709"/>
        <w:jc w:val="both"/>
      </w:pPr>
      <w:r w:rsidRPr="00AF3857">
        <w:t>Sentencia SU-174/07. (2007, 14 de marzo). Corte Constitucional de Colombia (Manuel José Cepeda Espinosa, M. P).</w:t>
      </w:r>
    </w:p>
    <w:p w14:paraId="1E1BB498" w14:textId="77777777" w:rsidR="000309AB" w:rsidRPr="00AF3857" w:rsidRDefault="000309AB" w:rsidP="002044F1">
      <w:pPr>
        <w:ind w:left="709" w:hanging="709"/>
        <w:jc w:val="both"/>
      </w:pPr>
      <w:r w:rsidRPr="00AF3857">
        <w:t>Sentencia SU-174/07. (2007, 14 de marzo). Corte Constitucional de Colombia (Manuel José Cepeda Espinosa, M. P).</w:t>
      </w:r>
    </w:p>
    <w:p w14:paraId="7BFA7A26" w14:textId="6D99E80B" w:rsidR="000309AB" w:rsidRPr="00AF3857" w:rsidRDefault="000309AB" w:rsidP="002044F1">
      <w:pPr>
        <w:ind w:left="709" w:hanging="709"/>
        <w:jc w:val="both"/>
      </w:pPr>
      <w:proofErr w:type="spellStart"/>
      <w:r w:rsidRPr="00AF3857">
        <w:t>Sentenia</w:t>
      </w:r>
      <w:proofErr w:type="spellEnd"/>
      <w:r w:rsidRPr="00AF3857">
        <w:t xml:space="preserve"> C-934/2013. (2013, 11 de diciembre). Corte Constitucional de Colombia (Nilson Pinilla Pinilla). </w:t>
      </w:r>
    </w:p>
    <w:p w14:paraId="5F4DA5B6" w14:textId="4E3D181B" w:rsidR="00DE40BD" w:rsidRPr="00AF3857" w:rsidRDefault="00DE40BD" w:rsidP="00AC75E7">
      <w:pPr>
        <w:spacing w:after="0"/>
        <w:ind w:left="720" w:hanging="720"/>
        <w:jc w:val="both"/>
      </w:pPr>
      <w:r w:rsidRPr="00AF3857">
        <w:t>Sentencia T229/16 (2016, 11 de mayo). Corte Constitucional de Colombia (Jorge</w:t>
      </w:r>
    </w:p>
    <w:p w14:paraId="474EB162" w14:textId="21BB8EC3" w:rsidR="002044F1" w:rsidRDefault="00DE40BD" w:rsidP="00AC75E7">
      <w:pPr>
        <w:spacing w:after="0"/>
        <w:jc w:val="both"/>
      </w:pPr>
      <w:r w:rsidRPr="00AF3857">
        <w:t xml:space="preserve">Iván Palacio </w:t>
      </w:r>
      <w:proofErr w:type="spellStart"/>
      <w:r w:rsidRPr="00AF3857">
        <w:t>Palacio</w:t>
      </w:r>
      <w:proofErr w:type="spellEnd"/>
      <w:r w:rsidRPr="00AF3857">
        <w:t xml:space="preserve">, </w:t>
      </w:r>
      <w:proofErr w:type="gramStart"/>
      <w:r w:rsidRPr="00AF3857">
        <w:t>M,P</w:t>
      </w:r>
      <w:proofErr w:type="gramEnd"/>
      <w:r w:rsidRPr="00AF3857">
        <w:t>).</w:t>
      </w:r>
    </w:p>
    <w:p w14:paraId="3360A5C2" w14:textId="77777777" w:rsidR="002044F1" w:rsidRDefault="002044F1">
      <w:r>
        <w:br w:type="page"/>
      </w:r>
    </w:p>
    <w:p w14:paraId="3A56E7DD" w14:textId="1E18CBC4" w:rsidR="005D228E" w:rsidRPr="00AF3857" w:rsidRDefault="005D228E" w:rsidP="002044F1">
      <w:pPr>
        <w:ind w:left="709" w:hanging="709"/>
        <w:jc w:val="both"/>
      </w:pPr>
      <w:r w:rsidRPr="00AF3857">
        <w:lastRenderedPageBreak/>
        <w:t xml:space="preserve">Sentencia 11001-3103-040-2006-00537-01. (2012, 21 de febrero). Corte Suprema de Justicia, Sala de Casación Civil. (William </w:t>
      </w:r>
      <w:proofErr w:type="spellStart"/>
      <w:r w:rsidRPr="00AF3857">
        <w:t>Namén</w:t>
      </w:r>
      <w:proofErr w:type="spellEnd"/>
      <w:r w:rsidRPr="00AF3857">
        <w:t xml:space="preserve"> Vargas, M.P.)</w:t>
      </w:r>
    </w:p>
    <w:p w14:paraId="0000001B" w14:textId="77777777" w:rsidR="00BA0699" w:rsidRPr="00AF3857" w:rsidRDefault="00D85EEF">
      <w:pPr>
        <w:spacing w:after="0"/>
        <w:ind w:left="709" w:hanging="709"/>
        <w:jc w:val="both"/>
      </w:pPr>
      <w:r w:rsidRPr="00AF3857">
        <w:t>Sentencia 1997-04959. (2013, 16 de diciembre). Corte Constitucional de Colombia (Ariel Salazar Ramírez, M.P).</w:t>
      </w:r>
    </w:p>
    <w:p w14:paraId="0000001C" w14:textId="77777777" w:rsidR="00BA0699" w:rsidRPr="00AF3857" w:rsidRDefault="00F556A0" w:rsidP="002044F1">
      <w:pPr>
        <w:jc w:val="both"/>
      </w:pPr>
      <w:hyperlink r:id="rId9">
        <w:r w:rsidR="00D85EEF" w:rsidRPr="00AF3857">
          <w:rPr>
            <w:u w:val="single"/>
          </w:rPr>
          <w:t>https://indret.com/wp-content/themes/indret/pdf/736_es.pdf</w:t>
        </w:r>
      </w:hyperlink>
    </w:p>
    <w:p w14:paraId="0000001E" w14:textId="77777777" w:rsidR="00BA0699" w:rsidRPr="00AF3857" w:rsidRDefault="00D85EEF">
      <w:pPr>
        <w:spacing w:after="0"/>
        <w:ind w:left="709" w:hanging="709"/>
        <w:jc w:val="both"/>
      </w:pPr>
      <w:r w:rsidRPr="00AF3857">
        <w:t xml:space="preserve">Tribunal Arbitral. (2020). </w:t>
      </w:r>
      <w:r w:rsidRPr="00AF3857">
        <w:rPr>
          <w:i/>
        </w:rPr>
        <w:t xml:space="preserve">Laudo entre Mercantil </w:t>
      </w:r>
      <w:proofErr w:type="spellStart"/>
      <w:r w:rsidRPr="00AF3857">
        <w:rPr>
          <w:i/>
        </w:rPr>
        <w:t>Galerazamba</w:t>
      </w:r>
      <w:proofErr w:type="spellEnd"/>
      <w:r w:rsidRPr="00AF3857">
        <w:rPr>
          <w:i/>
        </w:rPr>
        <w:t xml:space="preserve"> y </w:t>
      </w:r>
      <w:proofErr w:type="spellStart"/>
      <w:r w:rsidRPr="00AF3857">
        <w:rPr>
          <w:i/>
        </w:rPr>
        <w:t>Cía</w:t>
      </w:r>
      <w:proofErr w:type="spellEnd"/>
      <w:r w:rsidRPr="00AF3857">
        <w:rPr>
          <w:i/>
        </w:rPr>
        <w:t xml:space="preserve"> S.C.A. y Gabriel Hernán Rafael Echavarría Obregón</w:t>
      </w:r>
      <w:r w:rsidRPr="00AF3857">
        <w:t>. Cámara de Comercio de Bogotá.</w:t>
      </w:r>
    </w:p>
    <w:p w14:paraId="14BEF59A" w14:textId="00509238" w:rsidR="00D04D2D" w:rsidRPr="00AF3857" w:rsidRDefault="00F556A0" w:rsidP="00AF3857">
      <w:pPr>
        <w:spacing w:after="0"/>
        <w:jc w:val="both"/>
        <w:rPr>
          <w:u w:val="single"/>
        </w:rPr>
      </w:pPr>
      <w:hyperlink r:id="rId10">
        <w:r w:rsidR="00D85EEF" w:rsidRPr="00AF3857">
          <w:rPr>
            <w:u w:val="single"/>
          </w:rPr>
          <w:t>https://bibliotecadigital.ccb.org.co/items/43aaac75-66cb-4708-acc1-b290ec93988</w:t>
        </w:r>
      </w:hyperlink>
      <w:bookmarkStart w:id="1" w:name="_GoBack"/>
      <w:bookmarkEnd w:id="1"/>
    </w:p>
    <w:sectPr w:rsidR="00D04D2D" w:rsidRPr="00AF3857">
      <w:pgSz w:w="12240" w:h="15840"/>
      <w:pgMar w:top="1701" w:right="1701" w:bottom="1701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699"/>
    <w:rsid w:val="000309AB"/>
    <w:rsid w:val="002044F1"/>
    <w:rsid w:val="00402752"/>
    <w:rsid w:val="00404B72"/>
    <w:rsid w:val="004671FC"/>
    <w:rsid w:val="005D228E"/>
    <w:rsid w:val="005F07DB"/>
    <w:rsid w:val="006C1AE1"/>
    <w:rsid w:val="008B70D8"/>
    <w:rsid w:val="00AC75E7"/>
    <w:rsid w:val="00AF3857"/>
    <w:rsid w:val="00B425DB"/>
    <w:rsid w:val="00BA0699"/>
    <w:rsid w:val="00C676C8"/>
    <w:rsid w:val="00D04D2D"/>
    <w:rsid w:val="00D4531E"/>
    <w:rsid w:val="00D85EEF"/>
    <w:rsid w:val="00DE40BD"/>
    <w:rsid w:val="00E84570"/>
    <w:rsid w:val="00F24FD1"/>
    <w:rsid w:val="00F5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7FFBA"/>
  <w15:docId w15:val="{25CBE771-D1B3-4B10-A7D2-D10FD386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MX" w:eastAsia="es-CO" w:bidi="ar-SA"/>
      </w:rPr>
    </w:rPrDefault>
    <w:pPrDefault>
      <w:pPr>
        <w:spacing w:after="160"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5F07D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F07DB"/>
    <w:rPr>
      <w:color w:val="605E5C"/>
      <w:shd w:val="clear" w:color="auto" w:fill="E1DFDD"/>
    </w:rPr>
  </w:style>
  <w:style w:type="character" w:styleId="Referenciaintensa">
    <w:name w:val="Intense Reference"/>
    <w:basedOn w:val="Fuentedeprrafopredeter"/>
    <w:uiPriority w:val="32"/>
    <w:qFormat/>
    <w:rsid w:val="004671FC"/>
    <w:rPr>
      <w:b/>
      <w:bCs/>
      <w:smallCaps/>
      <w:color w:val="4F81BD" w:themeColor="accent1"/>
      <w:spacing w:val="5"/>
    </w:rPr>
  </w:style>
  <w:style w:type="paragraph" w:customStyle="1" w:styleId="APAREFERENCIAS">
    <w:name w:val="APA REFERENCIAS"/>
    <w:basedOn w:val="Normal"/>
    <w:link w:val="APAREFERENCIASCar"/>
    <w:qFormat/>
    <w:rsid w:val="005D228E"/>
    <w:pPr>
      <w:spacing w:after="0"/>
      <w:ind w:left="720" w:hanging="720"/>
      <w:jc w:val="both"/>
    </w:pPr>
  </w:style>
  <w:style w:type="character" w:customStyle="1" w:styleId="APAREFERENCIASCar">
    <w:name w:val="APA REFERENCIAS Car"/>
    <w:basedOn w:val="Fuentedeprrafopredeter"/>
    <w:link w:val="APAREFERENCIAS"/>
    <w:rsid w:val="005D2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ajudicial.gov.co/documents/36806623/46639438/202000113+NIEGA+MANDTO+FALTA+EXIGIBILIDAD+++CONTRATO+NO+422+CGP-+VIRTUAL-MARIA-.pdf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suin-juriscol.gov.co/viewDocument.asp?id=3003073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8601/01234366.n39.0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arrigues.com/sites/default/files/documents/clausulas_de_sandbagging_y_antisandbagging_en_operaciones_de_ma_como_estan_reguladas_en_latinoamerica.pdf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bibliotecadigital.ccb.org.co/items/43aaac75-66cb-4708-acc1-b290ec93988" TargetMode="External"/><Relationship Id="rId4" Type="http://schemas.openxmlformats.org/officeDocument/2006/relationships/hyperlink" Target="https://bibliotecadigital.ccb.org.co/handle/11520/21699" TargetMode="External"/><Relationship Id="rId9" Type="http://schemas.openxmlformats.org/officeDocument/2006/relationships/hyperlink" Target="https://indret.com/wp-content/themes/indret/pdf/736_es.pdf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8F4239050242D4A8575FAE12543B59F" ma:contentTypeVersion="15" ma:contentTypeDescription="Crear nuevo documento." ma:contentTypeScope="" ma:versionID="0566b731ccebcefcbdc56953d62f1e8d">
  <xsd:schema xmlns:xsd="http://www.w3.org/2001/XMLSchema" xmlns:xs="http://www.w3.org/2001/XMLSchema" xmlns:p="http://schemas.microsoft.com/office/2006/metadata/properties" xmlns:ns2="618e050f-fb3e-4cc6-ac40-a1b6fff41217" xmlns:ns3="6e91f0c7-edc1-40ea-8a38-15f8c58fa540" xmlns:ns4="cbb53a27-70b1-4457-a7de-4bbc6fdd1bae" targetNamespace="http://schemas.microsoft.com/office/2006/metadata/properties" ma:root="true" ma:fieldsID="25c8049c364acc9ed0c9a03f7bf1af14" ns2:_="" ns3:_="" ns4:_="">
    <xsd:import namespace="618e050f-fb3e-4cc6-ac40-a1b6fff41217"/>
    <xsd:import namespace="6e91f0c7-edc1-40ea-8a38-15f8c58fa540"/>
    <xsd:import namespace="cbb53a27-70b1-4457-a7de-4bbc6fdd1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e050f-fb3e-4cc6-ac40-a1b6fff412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47ec1249-a48c-4968-bfb0-a566660bd3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1f0c7-edc1-40ea-8a38-15f8c58fa5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53a27-70b1-4457-a7de-4bbc6fdd1ba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4747e47-34f6-4ac2-b0b4-d879b87c96be}" ma:internalName="TaxCatchAll" ma:showField="CatchAllData" ma:web="cbb53a27-70b1-4457-a7de-4bbc6fdd1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8e050f-fb3e-4cc6-ac40-a1b6fff41217">
      <Terms xmlns="http://schemas.microsoft.com/office/infopath/2007/PartnerControls"/>
    </lcf76f155ced4ddcb4097134ff3c332f>
    <TaxCatchAll xmlns="cbb53a27-70b1-4457-a7de-4bbc6fdd1bae" xsi:nil="true"/>
  </documentManagement>
</p:properties>
</file>

<file path=customXml/itemProps1.xml><?xml version="1.0" encoding="utf-8"?>
<ds:datastoreItem xmlns:ds="http://schemas.openxmlformats.org/officeDocument/2006/customXml" ds:itemID="{50E6FC98-B439-46C2-8CD5-3934E0F413B9}"/>
</file>

<file path=customXml/itemProps2.xml><?xml version="1.0" encoding="utf-8"?>
<ds:datastoreItem xmlns:ds="http://schemas.openxmlformats.org/officeDocument/2006/customXml" ds:itemID="{0BF8258A-3EBE-4EC8-AF3C-D38F0859B797}"/>
</file>

<file path=customXml/itemProps3.xml><?xml version="1.0" encoding="utf-8"?>
<ds:datastoreItem xmlns:ds="http://schemas.openxmlformats.org/officeDocument/2006/customXml" ds:itemID="{03DFBD2B-22D5-43AA-B63B-3D53629585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Valentina Latorre Viloria</cp:lastModifiedBy>
  <cp:revision>3</cp:revision>
  <dcterms:created xsi:type="dcterms:W3CDTF">2024-05-30T18:04:00Z</dcterms:created>
  <dcterms:modified xsi:type="dcterms:W3CDTF">2024-05-30T19:40:00Z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0x01010038F4239050242D4A8575FAE12543B59F</vt:lpwstr>
  </property>
</Properties>
</file>